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BeurkG — Besonderheiten bei hör- und sprachbehinderten Beteiligten, mit denen eine schriftliche Verständigung nicht möglich ist</w:t>
      </w:r>
    </w:p>
    <w:p>
      <w:r>
        <w:rPr>
          <w:color w:val="555555"/>
          <w:sz w:val="18"/>
        </w:rPr>
        <w:t xml:space="preserve">Beurkundungsgesetz</w:t>
      </w:r>
    </w:p>
    <w:p>
      <w:r>
        <w:rPr>
          <w:color w:val="555555"/>
          <w:sz w:val="18"/>
        </w:rPr>
        <w:t xml:space="preserve">Stand: 01.08.2022 (konsolidierte Textfassung, kein amtliches Inkrafttretensdatum)</w:t>
      </w:r>
    </w:p>
    <w:p>
      <w:r>
        <w:t xml:space="preserve">(1) Vermag ein Beteiligter nach seinen Angaben oder nach der Überzeugung des Notars nicht hinreichend zu hören oder zu sprechen und sich auch nicht schriftlich zu verständigen, so soll der Notar dies in der Niederschrift feststellen. Wird in der Niederschrift eine solche Feststellung getroffen, so muss zu der Beurkundung eine Person zugezogen werden, die sich mit dem behinderten Beteiligten zu verständigen vermag und mit deren Zuziehung er nach der Überzeugung des Notars einverstanden ist; in der Niederschrift soll festgestellt werden, dass dies geschehen ist. Zweifelt der Notar an der Möglichkeit der Verständigung zwischen der zugezogenen Person und dem Beteiligten, so soll er dies in der Niederschrift feststellen. Die Niederschrift soll auch von der zugezogenen Person unterschrieben werden.</w:t>
      </w:r>
    </w:p>
    <w:p>
      <w:r>
        <w:t xml:space="preserve">(2) Die Beurkundung von Willenserklärungen ist insoweit unwirksam, als diese darauf gerichtet sind, der nach Absatz 1 zugezogenen Person einen rechtlichen Vorteil zu verschaffen.</w:t>
      </w:r>
    </w:p>
    <w:p>
      <w:r>
        <w:t xml:space="preserve">(3) Das Erfordernis, nach § 22 einen Zeugen oder zweiten Notar zuzuziehen, bleibt unberührt.</w:t>
      </w:r>
    </w:p>
    <w:p>
      <w:r>
        <w:rPr>
          <w:color w:val="555555"/>
          <w:sz w:val="17"/>
        </w:rPr>
        <w:t xml:space="preserve">Zitiervorschlag: § 24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