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16b BeurkG — Aufnahme einer elektronischen Niederschrift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Bei der Beurkundung von Willenserklärungen mittels Videokommunikation muss eine elektronische Niederschrift über die Verhandlung aufgenommen werden. Für die elektronische Niederschrift gelten die Vorschriften des Unterabschnitts 2, ausgenommen § 13b, entsprechend, soweit in diesem Unterabschnitt nichts anderes bestimmt ist.</w:t>
      </w:r>
    </w:p>
    <w:p>
      <w:r>
        <w:t xml:space="preserve">(2) Ort der Verhandlung ist der Ort, an dem die elektronische Niederschrift aufgenommen wird. In der elektronischen Niederschrift soll festgestellt werden, dass die Verhandlung mittels Videokommunikation durchgeführt worden ist.</w:t>
      </w:r>
    </w:p>
    <w:p>
      <w:r>
        <w:t xml:space="preserve">(3) Die elektronische Niederschrift ist mit qualifizierten elektronischen Signaturen zu versehen, die an die Stelle der nach diesem Gesetz vorgesehenen Unterschriften treten. Die Beteiligten sollen die qualifizierten elektronischen Signaturen selbst erstellen.</w:t>
      </w:r>
    </w:p>
    <w:p>
      <w:r>
        <w:rPr>
          <w:color w:val="555555"/>
          <w:sz w:val="17"/>
        </w:rPr>
        <w:t xml:space="preserve">Zitiervorschlag: § 16b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https://recht.nulegal.eu/gesetze/BeurkG/16b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