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BeurkG — Versteigerungen</w:t>
      </w:r>
    </w:p>
    <w:p>
      <w:r>
        <w:rPr>
          <w:color w:val="555555"/>
          <w:sz w:val="18"/>
        </w:rPr>
        <w:t xml:space="preserve">Beurkundungsgesetz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Bei der Beurkundung von Versteigerungen gelten nur solche Bieter als beteiligt, die an ihr Gebot gebunden bleiben. Entfernt sich ein solcher Bieter vor dem Schluß der Verhandlung, so gilt § 13 Abs. 1 insoweit nicht; in der Niederschrift muß festgestellt werden, daß sich der Bieter vor dem Schluß der Verhandlung entfernt hat.</w:t>
      </w:r>
    </w:p>
    <w:p>
      <w:r>
        <w:rPr>
          <w:color w:val="555555"/>
          <w:sz w:val="17"/>
        </w:rPr>
        <w:t xml:space="preserve">Zitiervorschlag: § 15 BeurkG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https://recht.nulegal.eu/gesetze/BeurkG/15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