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BeurkG — Eingeschränkte Vorlesungspflicht</w:t>
      </w:r>
    </w:p>
    <w:p>
      <w:r>
        <w:rPr>
          <w:color w:val="555555"/>
          <w:sz w:val="18"/>
        </w:rPr>
        <w:t xml:space="preserve">Beurkundungsgesetz</w:t>
      </w:r>
    </w:p>
    <w:p>
      <w:r>
        <w:rPr>
          <w:color w:val="555555"/>
          <w:sz w:val="18"/>
        </w:rPr>
        <w:t xml:space="preserve">Stand: 31.12.2025 (konsolidierte Textfassung, kein amtliches Inkrafttretensdatum)</w:t>
      </w:r>
    </w:p>
    <w:p>
      <w:r>
        <w:t xml:space="preserve">(1) Werden Bilanzen, Inventare, Nachlaßverzeichnisse oder sonstige Bestandsverzeichnisse über Sachen, Rechte und Rechtsverhältnisse in ein Schriftstück aufgenommen, auf das in der Niederschrift verwiesen und das dieser beigefügt wird, so braucht es nicht vorgelesen zu werden, wenn die Beteiligten auf das Vorlesen verzichten. Das gleiche gilt für Erklärungen, die bei der Bestellung einer Hypothek, Grundschuld, Rentenschuld, Schiffshypothek oder eines Registerpfandrechts an Luftfahrzeugen aufgenommen werden und nicht im Grundbuch, Schiffsregister, Schiffsbauregister oder im Register für Pfandrechte an Luftfahrzeugen selbst angegeben zu werden brauchen. Eine Erklärung, sich der sofortigen Zwangsvollstreckung zu unterwerfen, muß in die Niederschrift selbst aufgenommen werden.</w:t>
      </w:r>
    </w:p>
    <w:p>
      <w:r>
        <w:t xml:space="preserve">(2) Wird nach Absatz 1 das beigefügte Schriftstück nicht vorgelesen, so soll es den Beteiligten zur Kenntnisnahme vorgelegt werden. Unbeschadet des § 17 soll der Notar die Beteiligten auch über die Bedeutung des Verweisens auf das beigefügte Schriftstück belehren.</w:t>
      </w:r>
    </w:p>
    <w:p>
      <w:r>
        <w:t xml:space="preserve">(3) In der Niederschrift muß festgestellt werden, daß die Beteiligten auf das Vorlesen verzichtet haben; es soll festgestellt werden, daß ihnen das beigefügte Schriftstück zur Kenntnisnahme vorgelegt worden ist.</w:t>
      </w:r>
    </w:p>
    <w:p>
      <w:r>
        <w:rPr>
          <w:color w:val="555555"/>
          <w:sz w:val="17"/>
        </w:rPr>
        <w:t xml:space="preserve">Zitiervorschlag: § 14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