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13c BeurkG — Eingeschränkte Beifügungs- und Vorlesungspflicht</w:t>
      </w:r>
    </w:p>
    <w:p>
      <w:r>
        <w:rPr>
          <w:color w:val="555555"/>
          <w:sz w:val="18"/>
        </w:rPr>
        <w:t xml:space="preserve">Beurkundungsgesetz</w:t>
      </w:r>
    </w:p>
    <w:p>
      <w:r>
        <w:rPr>
          <w:color w:val="555555"/>
          <w:sz w:val="18"/>
        </w:rPr>
        <w:t xml:space="preserve">Stand: 31.12.2025 (konsolidierte Textfassung, kein amtliches Inkrafttretensdatum)</w:t>
      </w:r>
    </w:p>
    <w:p>
      <w:r>
        <w:t xml:space="preserve">(1) Wird in der Niederschrift auf eine andere notarielle Niederschrift verwiesen, die nach den Vorschriften über die Beurkundung von Willenserklärungen errichtet worden ist, so braucht diese nicht vorgelesen zu werden, wenn die Beteiligten erklären, daß ihnen der Inhalt der anderen Niederschrift bekannt ist, und sie auf das Vorlesen verzichten. Dies soll in der Niederschrift festgestellt werden. Der Notar soll nur beurkunden, wenn für die Beteiligten die andere Niederschrift zumindest in beglaubigter Abschrift bei der Beurkundung einsehbar ist. Für die Vorlage zur Durchsicht anstelle des Vorlesens von Karten, Zeichnungen oder Abbildungen gelten die Sätze 1 bis 3 entsprechend.</w:t>
      </w:r>
    </w:p>
    <w:p>
      <w:r>
        <w:t xml:space="preserve">(2) Die andere Niederschrift braucht der Niederschrift nicht beigefügt zu werden, wenn die Beteiligten darauf verzichten. In der Niederschrift soll festgestellt werden, daß die Beteiligten auf das Beifügen verzichtet haben.</w:t>
      </w:r>
    </w:p>
    <w:p>
      <w:r>
        <w:t xml:space="preserve">(3) Kann die andere Niederschrift bei dem Notar oder einer anderen Stelle rechtzeitig vor der Beurkundung eingesehen werden, so soll der Notar dies den Beteiligten vor der Verhandlung mitteilen; befindet sich die andere Niederschrift bei dem Notar, so soll er diese dem Beteiligten auf Verlangen übermitteln. Unbeschadet des § 17 soll der Notar die Beteiligten auch über die Bedeutung des Verweisens auf die andere Niederschrift belehren.</w:t>
      </w:r>
    </w:p>
    <w:p>
      <w:r>
        <w:t xml:space="preserve">(4) Wird in der Niederschrift auf Karten oder Zeichnungen verwiesen, die von einer öffentlichen Behörde innerhalb der Grenzen ihrer Amtsbefugnisse oder von einer mit öffentlichem Glauben versehenen Person innerhalb des ihr zugewiesenen Geschäftskreises mit Unterschrift und Siegel oder Stempel versehen worden sind, so gelten die Absätze 1 bis 3 entsprechend. Wird auf Karten oder Zeichnungen in elektronischen Dokumenten verwiesen, so tritt an die Stelle der Unterschrift und des Siegels oder Stempels ein qualifiziertes elektronisches Siegel oder eine qualifizierte elektronische Signatur, wobei das der Signatur zugrunde liegende qualifizierte Zertifikat die Behörde erkennen lassen muss.</w:t>
      </w:r>
    </w:p>
    <w:p>
      <w:r>
        <w:rPr>
          <w:color w:val="555555"/>
          <w:sz w:val="17"/>
        </w:rPr>
        <w:t xml:space="preserve">Zitiervorschlag: § 13c BeurkG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https://recht.nulegal.eu/gesetze/BeurkG/13c</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