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BeurkG — Feststellungen über die Geschäftsfähigkeit</w:t>
      </w:r>
    </w:p>
    <w:p>
      <w:r>
        <w:rPr>
          <w:color w:val="555555"/>
          <w:sz w:val="18"/>
        </w:rPr>
        <w:t xml:space="preserve">Beurkundungsgesetz</w:t>
      </w:r>
    </w:p>
    <w:p>
      <w:r>
        <w:rPr>
          <w:color w:val="555555"/>
          <w:sz w:val="18"/>
        </w:rPr>
        <w:t xml:space="preserve">Stand: 01.08.2022 (konsolidierte Textfassung, kein amtliches Inkrafttretensdatum)</w:t>
      </w:r>
    </w:p>
    <w:p>
      <w:r>
        <w:t xml:space="preserve">(1) Fehlt einem Beteiligten nach der Überzeugung des Notars die erforderliche Geschäftsfähigkeit, so soll die Beurkundung abgelehnt werden. Zweifel an der erforderlichen Geschäftsfähigkeit eines Beteiligten soll der Notar in der Niederschrift feststellen.</w:t>
      </w:r>
    </w:p>
    <w:p>
      <w:r>
        <w:t xml:space="preserve">(2) Ist ein Beteiligter schwer krank, so soll dies in der Niederschrift vermerkt und angegeben werden, welche Feststellungen der Notar über die Geschäftsfähigkeit getroffen hat.</w:t>
      </w:r>
    </w:p>
    <w:p>
      <w:r>
        <w:rPr>
          <w:color w:val="555555"/>
          <w:sz w:val="17"/>
        </w:rPr>
        <w:t xml:space="preserve">Zitiervorschlag: § 11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https://recht.nulegal.eu/gesetze/BeurkG/11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