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BeurkG — Geltungsbereich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Dieses Gesetz gilt für öffentliche Beurkundungen und Verwahrungen durch den Notar.</w:t>
      </w:r>
    </w:p>
    <w:p>
      <w:r>
        <w:t xml:space="preserve">(2) Soweit für öffentliche Beurkundungen neben dem Notar auch andere Urkundspersonen oder sonstige Stellen zuständig sind, gelten die Vorschriften dieses Gesetzes, ausgenommen § 5 Abs. 2 und des Abschnitts 5, entsprechend.</w:t>
      </w:r>
    </w:p>
    <w:p>
      <w:r>
        <w:rPr>
          <w:color w:val="555555"/>
          <w:sz w:val="17"/>
        </w:rPr>
        <w:t xml:space="preserve">Zitiervorschlag: § 1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