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BetrWPrV — Gliederung und Durchführung der Prüfung</w:t>
      </w:r>
    </w:p>
    <w:p>
      <w:r>
        <w:rPr>
          <w:color w:val="555555"/>
          <w:sz w:val="18"/>
        </w:rPr>
        <w:t xml:space="preserve">Verordnung über die Prüfung zum anerkannten Abschluss Geprüfter Betriebswirt/Geprüfte Betriebswirtin nach dem Berufsbildungsgesetz</w:t>
      </w:r>
    </w:p>
    <w:p>
      <w:r>
        <w:rPr>
          <w:color w:val="555555"/>
          <w:sz w:val="18"/>
        </w:rPr>
        <w:t xml:space="preserve">Historische Fassung: Stand 10.06.2019 bis 02.01.2020. Dies ist nicht die aktuelle Fassung.</w:t>
      </w:r>
    </w:p>
    <w:p>
      <w:r>
        <w:t xml:space="preserve">(1) Die Prüfung gliedert sich in die Prüfungsteile:</w:t>
      </w:r>
    </w:p>
    <w:p>
      <w:pPr>
        <w:ind w:left="420"/>
      </w:pPr>
      <w:r>
        <w:t xml:space="preserve">1. Wirtschaftliches Handeln und betriebliche Leistungsprozesse,</w:t>
      </w:r>
    </w:p>
    <w:p>
      <w:pPr>
        <w:ind w:left="420"/>
      </w:pPr>
      <w:r>
        <w:t xml:space="preserve">2. Führung und Management im Unternehmen,</w:t>
      </w:r>
    </w:p>
    <w:p>
      <w:pPr>
        <w:ind w:left="420"/>
      </w:pPr>
      <w:r>
        <w:t xml:space="preserve">3. Projektarbeit und projektarbeitsbezogenes Fachgespräch.</w:t>
      </w:r>
    </w:p>
    <w:p>
      <w:r>
        <w:t xml:space="preserve">(2) Im Prüfungsteil nach Absatz 1 Nr. 1 ist schriftlich in Form von anwendungsbezogenen Aufgabenstellungen gemäß § 4 zu prüfen. Im Prüfungsteil nach Absatz 1 Nr. 2 ist sowohl schriftlich als auch mündlich in Form von anwendungsbezogenen, integrierten Situationsaufgaben nach § 5 zu prüfen. Im Prüfungsteil nach Absatz 1 Nr. 3 wird eine praxisorientierte Projektarbeit mit kaufmännischem Hintergrund erstellt und ein Fachgespräch nach § 6 durchgeführt.</w:t>
      </w:r>
    </w:p>
    <w:p>
      <w:r>
        <w:t xml:space="preserve">(3) Der Prüfungsteil nach Absatz 1 Nr. 2 darf erst nach Ablegen des Prüfungsteils nach Absatz 1 Nr. 1 durchgeführt werden.</w:t>
      </w:r>
    </w:p>
    <w:p>
      <w:r>
        <w:t xml:space="preserve">(4) Die Prüfung nach Absatz 1 Nr. 3 darf erst nach erfolgreichem Abschluss der Prüfungsteile nach Absatz 1 Nr. 1 und 2 durchgeführt werden.</w:t>
      </w:r>
    </w:p>
    <w:p>
      <w:r>
        <w:t xml:space="preserve">(5) Mit dem Prüfungsteil nach Absatz 1 Nr. 3 soll spätestens ein Jahr nach dem letzten erfolgreichen Abschluss der Prüfungsteile nach Absatz 1 Nr. 1 und 2 begonnen werden.</w:t>
      </w:r>
    </w:p>
    <w:p>
      <w:r>
        <w:rPr>
          <w:color w:val="555555"/>
          <w:sz w:val="17"/>
        </w:rPr>
        <w:t xml:space="preserve">Zitiervorschlag: § 3 BetrWPrV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https://recht.nulegal.eu/gesetze/BetrWPrV/3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