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BetrWPrV — Zulassungsvoraussetzungen</w:t>
      </w:r>
    </w:p>
    <w:p>
      <w:r>
        <w:rPr>
          <w:color w:val="555555"/>
          <w:sz w:val="18"/>
        </w:rPr>
        <w:t xml:space="preserve">Verordnung über die Prüfung zum anerkannten Abschluss Geprüfter Betriebswirt/Geprüfte Betriebswirtin nach dem Berufsbildungsgesetz</w:t>
      </w:r>
    </w:p>
    <w:p>
      <w:r>
        <w:rPr>
          <w:color w:val="555555"/>
          <w:sz w:val="18"/>
        </w:rPr>
        <w:t xml:space="preserve">Historische Fassung: Stand 10.06.2019 bis 02.01.2020. Dies ist nicht die aktuelle Fassung.</w:t>
      </w:r>
    </w:p>
    <w:p>
      <w:r>
        <w:t xml:space="preserve">(1) Zur Prüfung ist zuzulassen, wer</w:t>
      </w:r>
    </w:p>
    <w:p>
      <w:pPr>
        <w:ind w:left="420"/>
      </w:pPr>
      <w:r>
        <w:t xml:space="preserve">1. eine mit Erfolg abgelegte IHK-Aufstiegsfortbildungsprüfung zum Fachwirt oder Fachkaufmann oder eine vergleichbare kaufmännische Fortbildungsprüfung nach dem Berufsbildungsgesetz nachweistoder</w:t>
      </w:r>
    </w:p>
    <w:p>
      <w:pPr>
        <w:ind w:left="420"/>
      </w:pPr>
      <w:r>
        <w:t xml:space="preserve">2. eine mit Erfolg abgelegte staatliche oder staatlich anerkannte Prüfung an einer auf eine Berufsausbildung aufbauenden kaufmännischen Fachschule und eine anschließende mindestens dreijährige Berufspraxis nachweist.</w:t>
      </w:r>
    </w:p>
    <w:p>
      <w:r>
        <w:t xml:space="preserve">Die Berufspraxis im Sinn der Nummer 2 muss in Tätigkeiten abgeleistet worden sein, die der beruflichen Qualifikation eines Geprüften Betriebswirts/einer Geprüften Betriebswirtin nach § 1 dienlich sind.</w:t>
      </w:r>
    </w:p>
    <w:p>
      <w:r>
        <w:t xml:space="preserve">(2) Abweichend von Absatz 1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BetrWPrV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