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BetrWPrV — Ziel der Prüfung und Bezeichnung des Abschlusses</w:t>
      </w:r>
    </w:p>
    <w:p>
      <w:r>
        <w:rPr>
          <w:color w:val="555555"/>
          <w:sz w:val="18"/>
        </w:rPr>
        <w:t xml:space="preserve">Verordnung über die Prüfung zum anerkannten Abschluss Geprüfter Betriebswirt/Geprüfte Betriebswirtin nach dem Berufsbildungsgesetz</w:t>
      </w:r>
    </w:p>
    <w:p>
      <w:r>
        <w:rPr>
          <w:color w:val="555555"/>
          <w:sz w:val="18"/>
        </w:rPr>
        <w:t xml:space="preserve">Historische Fassung: Stand 10.06.2019 bis 02.01.2020. Dies ist nicht die aktuelle Fassung.</w:t>
      </w:r>
    </w:p>
    <w:p>
      <w:r>
        <w:t xml:space="preserve">(1) Die zuständige Stelle kann berufliche Fortbildungsprüfungen zum Geprüften Betriebswirt/zur Geprüften Betriebswirtin nach den §§ 2 bis 10 durchführen, in denen die auf einen beruflichen Aufstieg abzielende Erweiterung der beruflichen Handlungsfähigkeit nachzuweisen ist.</w:t>
      </w:r>
    </w:p>
    <w:p>
      <w:r>
        <w:t xml:space="preserve">(2) Ziel der Prüfung ist der Nachweis der Qualifikation zum Geprüften Betriebswirt/zur Geprüften Betriebswirtin. Die Qualifikation umfasst die Befähigung, unternehmerisch kompetent, zielgerichtet und verantwortungsvoll Lösungen für betriebswirtschaftliche Problemstellungen der Unternehmen, insbesondere im Zusammenhang mit den Herausforderungen des internationalen Wettbewerbs entwickeln zu können und dabei die ökonomische, ökologische und soziale Dimension eines nachhaltigen Wirtschaftens zu berücksichtigen. Hierzu gehört, insbesondere nachfolgende Aufgaben ausüben zu können:</w:t>
      </w:r>
    </w:p>
    <w:p>
      <w:pPr>
        <w:ind w:left="420"/>
      </w:pPr>
      <w:r>
        <w:t xml:space="preserve">1. Strategiefindung und -umsetzung im Rahmen einer nachhaltigen Unternehmensführung,</w:t>
      </w:r>
    </w:p>
    <w:p>
      <w:pPr>
        <w:ind w:left="420"/>
      </w:pPr>
      <w:r>
        <w:t xml:space="preserve">2. Gestaltung der organisatorischen Rahmenbedingungen des Unternehmens unter Nutzung moderner Informations- und Kommunikationstechniken,</w:t>
      </w:r>
    </w:p>
    <w:p>
      <w:pPr>
        <w:ind w:left="420"/>
      </w:pPr>
      <w:r>
        <w:t xml:space="preserve">3. Auswahl und Einsatz der personalwirtschaftlichen Instrumente zur Sicherung der Unternehmensziele,</w:t>
      </w:r>
    </w:p>
    <w:p>
      <w:pPr>
        <w:ind w:left="420"/>
      </w:pPr>
      <w:r>
        <w:t xml:space="preserve">4. Leitung und Koordination der betrieblichen Leistungsprozesse unter Berücksichtigung der rechtlichen Rahmenbedingungen.</w:t>
      </w:r>
    </w:p>
    <w:p>
      <w:r>
        <w:t xml:space="preserve">Der Betriebswirt soll auf der Basis eines an Werten orientierten, strategisch ausgerichteten Verständnisses des wirtschaftlichen Handelns diese Aufgaben mit betriebswirtschaftlicher Fachkompetenz, verbunden mit Methoden- und Sozialkompetenz wahrnehmen können.</w:t>
      </w:r>
    </w:p>
    <w:p>
      <w:r>
        <w:t xml:space="preserve">(3) Die erfolgreich abgelegte Prüfung führt zum anerkannten Abschluss Geprüfter Betriebswirt/Geprüfte Betriebswirtin. Die Zeugnisse der Anlagen 1 und 2 sind mit folgender Fußnote zu versehen: Geprüfter Betriebswirt/Geprüfte Betriebswirtin nach dem Berufsbildungsgesetz für die Bereiche der Industrie, des Handels und der Dienstleistungen.</w:t>
      </w:r>
    </w:p>
    <w:p>
      <w:r>
        <w:rPr>
          <w:color w:val="555555"/>
          <w:sz w:val="17"/>
        </w:rPr>
        <w:t xml:space="preserve">Zitiervorschlag: § 1 BetrWPrV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https://recht.nulegal.eu/gesetze/BetrWPrV/1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