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BetrWHwOPrV</w:t>
      </w:r>
    </w:p>
    <w:p>
      <w:r>
        <w:rPr>
          <w:color w:val="555555"/>
          <w:sz w:val="18"/>
        </w:rPr>
        <w:t xml:space="preserve">Verordnung über die Prüfung zum anerkannten Fortbildungsabschluss Geprüfter Betriebswirt nach der Handwerksordnung und Geprüfte Betriebswirtin nach der Handwerksordnung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42 der Handwerksordnung, der zuletzt durch Artikel 146 der Verordnung vom 31. Oktober 2006 (BGBl. I S. 2407; 2007 I S. 2149) geändert worden ist, verordnet das Bundesministerium für Bildung und Forschung nach Anhörung des Hauptausschusses des Bundesinstituts für Berufsbildung im Einvernehmen mit dem Bundesministerium für Wirtschaft und Technologie:</w:t>
      </w:r>
    </w:p>
    <w:p>
      <w:r>
        <w:rPr>
          <w:color w:val="555555"/>
          <w:sz w:val="17"/>
        </w:rPr>
        <w:t xml:space="preserve">Zitiervorschlag: Eingangsformel BetrWHwOPrV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https://recht.nulegal.eu/gesetze/BetrWHwOPrV/eingangsformel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