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BetrVRG — Neufassung des Betriebsverfassungsgesetzes</w:t>
      </w:r>
    </w:p>
    <w:p>
      <w:r>
        <w:rPr>
          <w:color w:val="555555"/>
          <w:sz w:val="18"/>
        </w:rPr>
        <w:t xml:space="preserve">BetrVerf-Reformgesetz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Sozialordnung kann den Wortlaut des Betriebsverfassungsgesetzes in der vom Inkrafttreten dieses Gesetzes an geltenden Fassung im Bundesgesetzblatt bekannt machen.</w:t>
      </w:r>
    </w:p>
    <w:p>
      <w:r>
        <w:rPr>
          <w:color w:val="555555"/>
          <w:sz w:val="17"/>
        </w:rPr>
        <w:t xml:space="preserve">Zitiervorschlag: Art 13 BetrVRG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