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BetrVGDV1WO</w:t>
      </w:r>
    </w:p>
    <w:p>
      <w:r>
        <w:rPr>
          <w:color w:val="555555"/>
          <w:sz w:val="18"/>
        </w:rPr>
        <w:t xml:space="preserve">Wahlordnung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126 des Betriebsverfassungsgesetzes in der Fassung der Bekanntmachung vom 25. September 2001 (BGBl. I S. 2518) verordnet das Bundesministerium für Arbeit und Sozialordnung:</w:t>
      </w:r>
    </w:p>
    <w:p>
      <w:r>
        <w:rPr>
          <w:color w:val="555555"/>
          <w:sz w:val="17"/>
        </w:rPr>
        <w:t xml:space="preserve">Zitiervorschlag: Eingangsformel BetrVGDV1WO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https://recht.nulegal.eu/gesetze/BetrVGDV1WO/eingangsformel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