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BetrVGDV1WO — Durchführung der Wahl</w:t>
      </w:r>
    </w:p>
    <w:p>
      <w:r>
        <w:rPr>
          <w:color w:val="555555"/>
          <w:sz w:val="18"/>
        </w:rPr>
        <w:t xml:space="preserve">Wahlordnung</w:t>
      </w:r>
    </w:p>
    <w:p>
      <w:r>
        <w:rPr>
          <w:color w:val="555555"/>
          <w:sz w:val="18"/>
        </w:rPr>
        <w:t xml:space="preserve">Stand: 15.10.2021 (konsolidierte Textfassung, kein amtliches Inkrafttretensdatum)</w:t>
      </w:r>
    </w:p>
    <w:p>
      <w:r>
        <w:t xml:space="preserve">(1) Sind mehr als drei Mitglieder zur Jugend- und Auszubildendenvertretung zu wählen, so erfolgt die Wahl aufgrund von Vorschlagslisten, sofern die Wahl nicht im vereinfachten Wahlverfahren erfolgt (§ 63 Absatz 4 und 5 des Gesetzes). § 6 Abs. 1 Satz 2, Abs. 2 und 4 bis 7, die §§ 7 bis 10 und § 27 gelten entsprechend. § 6 Abs. 3 gilt entsprechend mit der Maßgabe, dass in jeder Vorschlagsliste auch der Ausbildungsberuf der einzelnen Bewerberinnen oder Bewerber aufzuführen ist.</w:t>
      </w:r>
    </w:p>
    <w:p>
      <w:r>
        <w:t xml:space="preserve">(2) Sind mehrere gültige Vorschlagslisten eingereicht, so kann die Stimme nur für eine Vorschlagsliste abgegeben werden. § 11 Abs. 1 Satz 2, Abs. 3 und 4, die §§ 12 bis 19 gelten entsprechend. § 11 Abs. 2 gilt entsprechend mit der Maßgabe, dass auf den Stimmzetteln auch der Ausbildungsberuf der einzelnen Bewerberinnen oder Bewerber aufzuführen ist.</w:t>
      </w:r>
    </w:p>
    <w:p>
      <w:r>
        <w:t xml:space="preserve">(3) Ist nur eine gültige Vorschlagsliste eingereicht, so kann die Stimme nur für solche Bewerberinnen oder Bewerber abgegeben werden, die in der Vorschlagsliste aufgeführt sind. § 20 Abs. 3, die §§ 21 bis 23 gelten entsprechend. § 20 Abs. 2 gilt entsprechend mit der Maßgabe, dass auf den Stimmzetteln auch der Ausbildungsberuf der einzelnen Bewerber aufzuführen ist.</w:t>
      </w:r>
    </w:p>
    <w:p>
      <w:r>
        <w:t xml:space="preserve">(4) Für die schriftliche Stimmabgabe gelten die §§ 24 bis 26 entsprechend.</w:t>
      </w:r>
    </w:p>
    <w:p>
      <w:r>
        <w:rPr>
          <w:color w:val="555555"/>
          <w:sz w:val="17"/>
        </w:rPr>
        <w:t xml:space="preserve">Zitiervorschlag: § 39 BetrVGDV1WO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https://recht.nulegal.eu/gesetze/BetrVGDV1WO/39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