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BetrVGDV1WO — Stimmabgabe</w:t>
      </w:r>
    </w:p>
    <w:p>
      <w:r>
        <w:rPr>
          <w:color w:val="555555"/>
          <w:sz w:val="18"/>
        </w:rPr>
        <w:t xml:space="preserve">Wahlordnung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t xml:space="preserve">Die Stimmabgabe erfolgt in der Weise, dass die Wählerin oder der Wähler</w:t>
      </w:r>
    </w:p>
    <w:p>
      <w:pPr>
        <w:ind w:left="420"/>
      </w:pPr>
      <w:r>
        <w:t xml:space="preserve">1. den Stimmzettel unbeobachtet persönlich kennzeichnet und so faltet und in dem Wahlumschlag verschließt, dass die Stimmabgabe erst nach Auseinanderfalten des Stimmzettels erkennbar ist,</w:t>
      </w:r>
    </w:p>
    <w:p>
      <w:pPr>
        <w:ind w:left="420"/>
      </w:pPr>
      <w:r>
        <w:t xml:space="preserve">2. die vorgedruckte Erklärung unter Angabe des Orts und des Datums unterschreibt und</w:t>
      </w:r>
    </w:p>
    <w:p>
      <w:pPr>
        <w:ind w:left="420"/>
      </w:pPr>
      <w:r>
        <w:t xml:space="preserve">3. den Wahlumschlag und die unterschriebene vorgedruckte Erklärung in dem Freiumschlag verschließt und diesen so rechtzeitig an den Wahlvorstand absendet oder übergibt, dass er vor Abschluss der Stimmabgabe vorliegt.</w:t>
      </w:r>
    </w:p>
    <w:p>
      <w:r>
        <w:t xml:space="preserve">Die Wählerin oder der Wähler kann unter den Voraussetzungen des § 12 Abs. 4 die in den Nummern 1 bis 3 bezeichneten Tätigkeiten durch eine Person des Vertrauens verrichten lassen.</w:t>
      </w:r>
    </w:p>
    <w:p>
      <w:r>
        <w:rPr>
          <w:color w:val="555555"/>
          <w:sz w:val="17"/>
        </w:rPr>
        <w:t xml:space="preserve">Zitiervorschlag: § 25 BetrVGDV1WO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https://recht.nulegal.eu/gesetze/BetrVGDV1WO/25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