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BetrVGDV1WO — Stimmauszählung</w:t>
      </w:r>
    </w:p>
    <w:p>
      <w:r>
        <w:rPr>
          <w:color w:val="555555"/>
          <w:sz w:val="18"/>
        </w:rPr>
        <w:t xml:space="preserve">Wahlordnung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Nach Öffnung der Wahlurne entnimmt der Wahlvorstand die Stimmzettel und zählt die auf jede Bewerberin und jeden Bewerber entfallenden Stimmen zusammen; § 14 Abs. 1 Satz 2 und Abs. 2 gilt entsprechend.</w:t>
      </w:r>
    </w:p>
    <w:p>
      <w:r>
        <w:rPr>
          <w:color w:val="555555"/>
          <w:sz w:val="17"/>
        </w:rPr>
        <w:t xml:space="preserve">Zitiervorschlag: § 21 BetrVGDV1WO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https://recht.nulegal.eu/gesetze/BetrVGDV1WO/21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