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BetrVGDV1WO — Benachrichtigung der Gewählten</w:t>
      </w:r>
    </w:p>
    <w:p>
      <w:r>
        <w:rPr>
          <w:color w:val="555555"/>
          <w:sz w:val="18"/>
        </w:rPr>
        <w:t xml:space="preserve">Wahlordnung</w:t>
      </w:r>
    </w:p>
    <w:p>
      <w:r>
        <w:rPr>
          <w:color w:val="555555"/>
          <w:sz w:val="18"/>
        </w:rPr>
        <w:t xml:space="preserve">Stand: 10.06.2019 (konsolidierte Textfassung, kein amtliches Inkrafttretensdatum)</w:t>
      </w:r>
    </w:p>
    <w:p>
      <w:r>
        <w:t xml:space="preserve">(1) Der Wahlvorstand hat die als Betriebsratsmitglieder gewählten Arbeitnehmerinnen und Arbeitnehmer unverzüglich schriftlich von ihrer Wahl zu benachrichtigen. Erklärt die gewählte Person nicht binnen drei Arbeitstagen nach Zugang der Benachrichtigung dem Wahlvorstand, dass sie die Wahl ablehne, so gilt die Wahl als angenommen.</w:t>
      </w:r>
    </w:p>
    <w:p>
      <w:r>
        <w:t xml:space="preserve">(2) Lehnt eine gewählte Person die Wahl ab, so tritt an ihre Stelle die in derselben Vorschlagsliste in der Reihenfolge nach ihr benannte, nicht gewählte Person. Gehört die gewählte Person dem Geschlecht in der Minderheit an, so tritt an ihre Stelle die in derselben Vorschlagsliste in der Reihenfolge nach ihr benannte, nicht gewählte Person desselben Geschlechts, wenn ansonsten das Geschlecht in der Minderheit nicht die ihm nach § 15 Abs. 2 des Gesetzes zustehenden Mindestsitze erhält. § 15 Abs. 5 Nr. 2 bis 5 gilt entsprechend.</w:t>
      </w:r>
    </w:p>
    <w:p>
      <w:r>
        <w:rPr>
          <w:color w:val="555555"/>
          <w:sz w:val="17"/>
        </w:rPr>
        <w:t xml:space="preserve">Zitiervorschlag: § 17 BetrVGDV1WO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https://recht.nulegal.eu/gesetze/BetrVGDV1WO/17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