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BetrVG — Mitbestimmung bei personellen Einzelmaßnahmen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In Unternehmen mit in der Regel mehr als zwanzig wahlberechtigten Arbeitnehmern hat der Arbeitgeber den Betriebsrat vor jeder Einstellung, Eingruppierung, Umgruppierung und Versetzung zu unterrichten, ihm die erforderlichen Bewerbungsunterlagen vorzulegen und Auskunft über die Person der Beteiligten zu geben; er hat dem Betriebsrat unter Vorlage der erforderlichen Unterlagen Auskunft über die Auswirkungen der geplanten Maßnahme zu geben und die Zustimmung des Betriebsrats zu der geplanten Maßnahme einzuholen. Bei Einstellungen und Versetzungen hat der Arbeitgeber insbesondere den in Aussicht genommenen Arbeitsplatz und die vorgesehene Eingruppierung mitzuteilen. Die Mitglieder des Betriebsrats sind verpflichtet, über die ihnen im Rahmen der personellen Maßnahmen nach den Sätzen 1 und 2 bekanntgewordenen persönlichen Verhältnisse und Angelegenheiten der Arbeitnehmer, die ihrer Bedeutung oder ihrem Inhalt nach einer vertraulichen Behandlung bedürfen, Stillschweigen zu bewahren; § 79 Abs. 1 Satz 2 bis 4 gilt entsprechend.</w:t>
      </w:r>
    </w:p>
    <w:p>
      <w:r>
        <w:t xml:space="preserve">(2) Der Betriebsrat kann die Zustimmung verweigern, wenn</w:t>
      </w:r>
    </w:p>
    <w:p>
      <w:pPr>
        <w:ind w:left="420"/>
      </w:pPr>
      <w:r>
        <w:t xml:space="preserve">1. die personelle Maßnahme gegen ein Gesetz, eine Verordnung, eine Unfallverhütungsvorschrift oder gegen eine Bestimmung in einem Tarifvertrag oder in einer Betriebsvereinbarung oder gegen eine gerichtliche Entscheidung oder eine behördliche Anordnung verstoßen würde,</w:t>
      </w:r>
    </w:p>
    <w:p>
      <w:pPr>
        <w:ind w:left="420"/>
      </w:pPr>
      <w:r>
        <w:t xml:space="preserve">2. die personelle Maßnahme gegen eine Richtlinie nach § 95 verstoßen würde,</w:t>
      </w:r>
    </w:p>
    <w:p>
      <w:pPr>
        <w:ind w:left="420"/>
      </w:pPr>
      <w:r>
        <w:t xml:space="preserve">3. die durch Tatsachen begründete Besorgnis besteht, dass infolge der personellen Maßnahme im Betrieb beschäftigte Arbeitnehmer gekündigt werden oder sonstige Nachteile erleiden, ohne dass dies aus betrieblichen oder persönlichen Gründen gerechtfertigt ist; als Nachteil gilt bei unbefristeter Einstellung auch die Nichtberücksichtigung eines gleich geeigneten befristet Beschäftigten,</w:t>
      </w:r>
    </w:p>
    <w:p>
      <w:pPr>
        <w:ind w:left="420"/>
      </w:pPr>
      <w:r>
        <w:t xml:space="preserve">4. der betroffene Arbeitnehmer durch die personelle Maßnahme benachteiligt wird, ohne dass dies aus betrieblichen oder in der Person des Arbeitnehmers liegenden Gründen gerechtfertigt ist,</w:t>
      </w:r>
    </w:p>
    <w:p>
      <w:pPr>
        <w:ind w:left="420"/>
      </w:pPr>
      <w:r>
        <w:t xml:space="preserve">5. eine nach § 93 erforderliche Ausschreibung im Betrieb unterblieben ist oder</w:t>
      </w:r>
    </w:p>
    <w:p>
      <w:pPr>
        <w:ind w:left="420"/>
      </w:pPr>
      <w:r>
        <w:t xml:space="preserve">6. die durch Tatsachen begründete Besorgnis besteht, dass der für die personelle Maßnahme in Aussicht genommene Bewerber oder Arbeitnehmer den Betriebsfrieden durch gesetzwidriges Verhalten oder durch grobe Verletzung der in § 75 Abs. 1 enthaltenen Grundsätze, insbesondere durch rassistische oder fremdenfeindliche Betätigung, stören werde.</w:t>
      </w:r>
    </w:p>
    <w:p>
      <w:r>
        <w:t xml:space="preserve">(3) Verweigert der Betriebsrat seine Zustimmung, so hat er dies unter Angabe von Gründen innerhalb einer Woche nach Unterrichtung durch den Arbeitgeber diesem schriftlich mitzuteilen. Teilt der Betriebsrat dem Arbeitgeber die Verweigerung seiner Zustimmung nicht innerhalb der Frist schriftlich mit, so gilt die Zustimmung als erteilt.</w:t>
      </w:r>
    </w:p>
    <w:p>
      <w:r>
        <w:t xml:space="preserve">(4) Verweigert der Betriebsrat seine Zustimmung, so kann der Arbeitgeber beim Arbeitsgericht beantragen, die Zustimmung zu ersetzen.</w:t>
      </w:r>
    </w:p>
    <w:p>
      <w:r>
        <w:rPr>
          <w:color w:val="555555"/>
          <w:sz w:val="17"/>
        </w:rPr>
        <w:t xml:space="preserve">Zitiervorschlag: § 99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