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97 BetrVG — Einrichtungen und Maßnahmen der Berufsbildung</w:t>
      </w:r>
    </w:p>
    <w:p>
      <w:r>
        <w:rPr>
          <w:color w:val="555555"/>
          <w:sz w:val="18"/>
        </w:rPr>
        <w:t xml:space="preserve">Betriebsverfassungsgesetz</w:t>
      </w:r>
    </w:p>
    <w:p>
      <w:r>
        <w:rPr>
          <w:color w:val="555555"/>
          <w:sz w:val="18"/>
        </w:rPr>
        <w:t xml:space="preserve">Stand: 10.06.2019 (konsolidierte Textfassung, kein amtliches Inkrafttretensdatum)</w:t>
      </w:r>
    </w:p>
    <w:p>
      <w:r>
        <w:t xml:space="preserve">(1) Der Arbeitgeber hat mit dem Betriebsrat über die Errichtung und Ausstattung betrieblicher Einrichtungen zur Berufsbildung, die Einführung betrieblicher Berufsbildungsmaßnahmen und die Teilnahme an außerbetrieblichen Berufsbildungsmaßnahmen zu beraten.</w:t>
      </w:r>
    </w:p>
    <w:p>
      <w:r>
        <w:t xml:space="preserve">(2) Hat der Arbeitgeber Maßnahmen geplant oder durchgeführt, die dazu führen, dass sich die Tätigkeit der betroffenen Arbeitnehmer ändert und ihre beruflichen Kenntnisse und Fähigkeiten zur Erfüllung ihrer Aufgaben nicht mehr ausreichen, so hat der Betriebsrat bei der Einführung von Maßnahmen der betrieblichen Berufsbildung mitzubestimmen. Kommt eine Einigung nicht zustande, so entscheidet die Einigungsstelle. Der Spruch der Einigungsstelle ersetzt die Einigung zwischen Arbeitgeber und Betriebsrat.</w:t>
      </w:r>
    </w:p>
    <w:p>
      <w:r>
        <w:rPr>
          <w:color w:val="555555"/>
          <w:sz w:val="17"/>
        </w:rPr>
        <w:t xml:space="preserve">Zitiervorschlag: § 97 BetrVG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https://recht.nulegal.eu/gesetze/BetrVG/97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