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BetrVG — Auswahlrichtlinien</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Richtlinien über die personelle Auswahl bei Einstellungen, Versetzungen, Umgruppierungen und Kündigungen bedürfen der Zustimmung des Betriebsrats. Kommt eine Einigung über die Richtlinien oder ihren Inhalt nicht zustande, so entscheidet auf Antrag des Arbeitgebers die Einigungsstelle. Der Spruch der Einigungsstelle ersetzt die Einigung zwischen Arbeitgeber und Betriebsrat.</w:t>
      </w:r>
    </w:p>
    <w:p>
      <w:r>
        <w:t xml:space="preserve">(2) In Betrieben mit mehr als 500 Arbeitnehmern kann der Betriebsrat die Aufstellung von Richtlinien über die bei Maßnahmen des Absatzes 1 Satz 1 zu beachtenden fachlichen und persönlichen Voraussetzungen und sozialen Gesichtspunkte verlangen. Kommt eine Einigung über die Richtlinien oder ihren Inhalt nicht zustande, so entscheidet die Einigungsstelle. Der Spruch der Einigungsstelle ersetzt die Einigung zwischen Arbeitgeber und Betriebsrat.</w:t>
      </w:r>
    </w:p>
    <w:p>
      <w:r>
        <w:t xml:space="preserve">(2a) Die Absätze 1 und 2 finden auch dann Anwendung, wenn bei der Aufstellung der Richtlinien nach diesen Absätzen Künstliche Intelligenz zum Einsatz kommt.</w:t>
      </w:r>
    </w:p>
    <w:p>
      <w:r>
        <w:t xml:space="preserve">(3) Versetzung im Sinne dieses Gesetzes ist die Zuweisung eines anderen Arbeitsbereichs, die voraussichtlich die Dauer von einem Monat überschreitet, oder die mit einer erheblichen Änderung der Umstände verbunden ist, unter denen die Arbeit zu leisten ist. Werden Arbeitnehmer nach der Eigenart ihres Arbeitsverhältnisses üblicherweise nicht ständig an einem bestimmten Arbeitsplatz beschäftigt, so gilt die Bestimmung des jeweiligen Arbeitsplatzes nicht als Versetzung.</w:t>
      </w:r>
    </w:p>
    <w:p>
      <w:r>
        <w:rPr>
          <w:color w:val="555555"/>
          <w:sz w:val="17"/>
        </w:rPr>
        <w:t xml:space="preserve">Zitiervorschlag: § 95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