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 BetrVG — Personalfragebogen, Beurteilungsgrundsätze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Personalfragebogen bedürfen der Zustimmung des Betriebsrats. Kommt eine Einigung über ihren Inhalt nicht zustande, so entscheidet die Einigungsstelle. Der Spruch der Einigungsstelle ersetzt die Einigung zwischen Arbeitgeber und Betriebsrat.</w:t>
      </w:r>
    </w:p>
    <w:p>
      <w:r>
        <w:t xml:space="preserve">(2) Absatz 1 gilt entsprechend für persönliche Angaben in schriftlichen Arbeitsverträgen, die allgemein für den Betrieb verwendet werden sollen, sowie für die Aufstellung allgemeiner Beurteilungsgrundsätze.</w:t>
      </w:r>
    </w:p>
    <w:p>
      <w:r>
        <w:rPr>
          <w:color w:val="555555"/>
          <w:sz w:val="17"/>
        </w:rPr>
        <w:t xml:space="preserve">Zitiervorschlag: § 94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