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BetrVG — Mitbestimmungsrechte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Der Betriebsrat hat, soweit eine gesetzliche oder tarifliche Regelung nicht besteht, in folgenden Angelegenheiten mitzubestimmen:</w:t>
      </w:r>
    </w:p>
    <w:p>
      <w:pPr>
        <w:ind w:left="420"/>
      </w:pPr>
      <w:r>
        <w:t xml:space="preserve">1. Fragen der Ordnung des Betriebs und des Verhaltens der Arbeitnehmer im Betrieb;</w:t>
      </w:r>
    </w:p>
    <w:p>
      <w:pPr>
        <w:ind w:left="420"/>
      </w:pPr>
      <w:r>
        <w:t xml:space="preserve">2. Beginn und Ende der täglichen Arbeitszeit einschließlich der Pausen sowie Verteilung der Arbeitszeit auf die einzelnen Wochentage;</w:t>
      </w:r>
    </w:p>
    <w:p>
      <w:pPr>
        <w:ind w:left="420"/>
      </w:pPr>
      <w:r>
        <w:t xml:space="preserve">3. vorübergehende Verkürzung oder Verlängerung der betriebsüblichen Arbeitszeit;</w:t>
      </w:r>
    </w:p>
    <w:p>
      <w:pPr>
        <w:ind w:left="420"/>
      </w:pPr>
      <w:r>
        <w:t xml:space="preserve">4. Zeit, Ort und Art der Auszahlung der Arbeitsentgelte;</w:t>
      </w:r>
    </w:p>
    <w:p>
      <w:pPr>
        <w:ind w:left="420"/>
      </w:pPr>
      <w:r>
        <w:t xml:space="preserve">5. Aufstellung allgemeiner Urlaubsgrundsätze und des Urlaubsplans sowie die Festsetzung der zeitlichen Lage des Urlaubs für einzelne Arbeitnehmer, wenn zwischen dem Arbeitgeber und den beteiligten Arbeitnehmern kein Einverständnis erzielt wird;</w:t>
      </w:r>
    </w:p>
    <w:p>
      <w:pPr>
        <w:ind w:left="420"/>
      </w:pPr>
      <w:r>
        <w:t xml:space="preserve">6. Einführung und Anwendung von technischen Einrichtungen, die dazu bestimmt sind, das Verhalten oder die Leistung der Arbeitnehmer zu überwachen;</w:t>
      </w:r>
    </w:p>
    <w:p>
      <w:pPr>
        <w:ind w:left="420"/>
      </w:pPr>
      <w:r>
        <w:t xml:space="preserve">7. Regelungen über die Verhütung von Arbeitsunfällen und Berufskrankheiten sowie über den Gesundheitsschutz im Rahmen der gesetzlichen Vorschriften oder der Unfallverhütungsvorschriften;</w:t>
      </w:r>
    </w:p>
    <w:p>
      <w:pPr>
        <w:ind w:left="420"/>
      </w:pPr>
      <w:r>
        <w:t xml:space="preserve">8. Form, Ausgestaltung und Verwaltung von Sozialeinrichtungen, deren Wirkungsbereich auf den Betrieb, das Unternehmen oder den Konzern beschränkt ist;</w:t>
      </w:r>
    </w:p>
    <w:p>
      <w:pPr>
        <w:ind w:left="420"/>
      </w:pPr>
      <w:r>
        <w:t xml:space="preserve">9. Zuweisung und Kündigung von Wohnräumen, die den Arbeitnehmern mit Rücksicht auf das Bestehen eines Arbeitsverhältnisses vermietet werden, sowie die allgemeine Festlegung der Nutzungsbedingungen;</w:t>
      </w:r>
    </w:p>
    <w:p>
      <w:pPr>
        <w:ind w:left="420"/>
      </w:pPr>
      <w:r>
        <w:t xml:space="preserve">10. Fragen der betrieblichen Lohngestaltung, insbesondere die Aufstellung von Entlohnungsgrundsätzen und die Einführung und Anwendung von neuen Entlohnungsmethoden sowie deren Änderung;</w:t>
      </w:r>
    </w:p>
    <w:p>
      <w:pPr>
        <w:ind w:left="420"/>
      </w:pPr>
      <w:r>
        <w:t xml:space="preserve">11. Festsetzung der Akkord- und Prämiensätze und vergleichbarer leistungsbezogener Entgelte, einschließlich der Geldfaktoren;</w:t>
      </w:r>
    </w:p>
    <w:p>
      <w:pPr>
        <w:ind w:left="420"/>
      </w:pPr>
      <w:r>
        <w:t xml:space="preserve">12. Grundsätze über das betriebliche Vorschlagswesen;</w:t>
      </w:r>
    </w:p>
    <w:p>
      <w:pPr>
        <w:ind w:left="420"/>
      </w:pPr>
      <w:r>
        <w:t xml:space="preserve">13. Grundsätze über die Durchführung von Gruppenarbeit; Gruppenarbeit im Sinne dieser Vorschrift liegt vor, wenn im Rahmen des betrieblichen Arbeitsablaufs eine Gruppe von Arbeitnehmern eine ihr übertragene Gesamtaufgabe im Wesentlichen eigenverantwortlich erledigt;</w:t>
      </w:r>
    </w:p>
    <w:p>
      <w:pPr>
        <w:ind w:left="420"/>
      </w:pPr>
      <w:r>
        <w:t xml:space="preserve">14. Ausgestaltung von mobiler Arbeit, die mittels Informations- und Kommunikationstechnik erbracht wird.</w:t>
      </w:r>
    </w:p>
    <w:p>
      <w:r>
        <w:t xml:space="preserve">(2) Kommt eine Einigung über eine Angelegenheit nach Absatz 1 nicht zustande, so entscheidet die Einigungsstelle. Der Spruch der Einigungsstelle ersetzt die Einigung zwischen Arbeitgeber und Betriebsrat.</w:t>
      </w:r>
    </w:p>
    <w:p>
      <w:r>
        <w:rPr>
          <w:color w:val="555555"/>
          <w:sz w:val="17"/>
        </w:rPr>
        <w:t xml:space="preserve">Zitiervorschlag: § 87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