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BetrVG — Einsicht in die Personalakten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Arbeitnehmer hat das Recht, in die über ihn geführten Personalakten Einsicht zu nehmen. Er kann hierzu ein Mitglied des Betriebsrats hinzuziehen. Das Mitglied des Betriebsrats hat über den Inhalt der Personalakte Stillschweigen zu bewahren, soweit es vom Arbeitnehmer im Einzelfall nicht von dieser Verpflichtung entbunden wird.</w:t>
      </w:r>
    </w:p>
    <w:p>
      <w:r>
        <w:t xml:space="preserve">(2) Erklärungen des Arbeitnehmers zum Inhalt der Personalakte sind dieser auf sein Verlangen beizufügen.</w:t>
      </w:r>
    </w:p>
    <w:p>
      <w:r>
        <w:rPr>
          <w:color w:val="555555"/>
          <w:sz w:val="17"/>
        </w:rPr>
        <w:t xml:space="preserve">Zitiervorschlag: § 83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