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BetrVG — Schutzbestimmungen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25.07.2024 (konsolidierte Textfassung, kein amtliches Inkrafttretensdatum)</w:t>
      </w:r>
    </w:p>
    <w:p>
      <w:r>
        <w:t xml:space="preserve">Die Mitglieder des Betriebsrats, des Gesamtbetriebsrats, des Konzernbetriebsrats, der Jugend- und Auszubildendenvertretung, der Gesamt-Jugend- und Auszubildendenvertretung, der Konzern-Jugend- und Auszubildendenvertretung, des Wirtschaftsausschusses, der Bordvertretung, des Seebetriebsrats, der in § 3 Abs. 1 genannten Vertretungen der Arbeitnehmer, der Einigungsstelle, einer tariflichen Schlichtungsstelle (§ 76 Abs. 8) und einer betrieblichen Beschwerdestelle (§ 86) sowie Auskunftspersonen (§ 80 Absatz 2 Satz 4) dürfen in der Ausübung ihrer Tätigkeit nicht gestört oder behindert werden. Sie dürfen wegen ihrer Tätigkeit nicht benachteiligt oder begünstigt werden; dies gilt auch für ihre berufliche Entwicklung. Eine Begünstigung oder Benachteiligung liegt im Hinblick auf das gezahlte Arbeitsentgelt nicht vor, wenn das Mitglied einer in Satz 1 genannten Vertretung in seiner Person die für die Gewährung des Arbeitsentgelts erforderlichen betrieblichen Anforderungen und Kriterien erfüllt und die Festlegung nicht ermessensfehlerhaft erfolgt.</w:t>
      </w:r>
    </w:p>
    <w:p>
      <w:r>
        <w:rPr>
          <w:color w:val="555555"/>
          <w:sz w:val="17"/>
        </w:rPr>
        <w:t xml:space="preserve">Zitiervorschlag: § 78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