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65 BetrVG — Geschäftsführung</w:t>
      </w:r>
    </w:p>
    <w:p>
      <w:r>
        <w:rPr>
          <w:color w:val="555555"/>
          <w:sz w:val="18"/>
        </w:rPr>
        <w:t xml:space="preserve">Betriebsverfassungsgesetz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Für die Jugend- und Auszubildendenvertretung gelten § 23 Abs. 1, die §§ 24, 25, 26, 28 Abs. 1 Satz 1 und 2, die §§ 30, 31, 33 Abs. 1 und 2 sowie die §§ 34, 36, 37, 40 und 41 entsprechend.</w:t>
      </w:r>
    </w:p>
    <w:p>
      <w:r>
        <w:t xml:space="preserve">(2) Die Jugend- und Auszubildendenvertretung kann nach Verständigung des Betriebsrats Sitzungen abhalten; § 29 gilt entsprechend. An diesen Sitzungen kann der Betriebsratsvorsitzende oder ein beauftragtes Betriebsratsmitglied teilnehmen.</w:t>
      </w:r>
    </w:p>
    <w:p>
      <w:r>
        <w:rPr>
          <w:color w:val="555555"/>
          <w:sz w:val="17"/>
        </w:rPr>
        <w:t xml:space="preserve">Zitiervorschlag: § 65 BetrVG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https://recht.nulegal.eu/gesetze/BetrVG/65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