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BetrVG — Wahlberechtigung und Wählbarkeit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Wahlberechtigt sind alle in § 60 Abs. 1 genannten Arbeitnehmer des Betriebs.</w:t>
      </w:r>
    </w:p>
    <w:p>
      <w:r>
        <w:t xml:space="preserve">(2) Wählbar sind alle Arbeitnehmer des Betriebs, die das 25. Lebensjahr noch nicht vollendet haben oder die zu ihrer Berufsausbildung beschäftigt sind; § 8 Abs. 1 Satz 3 findet Anwendung. Mitglieder des Betriebsrats können nicht zu Jugend- und Auszubildendenvertretern gewählt werden.</w:t>
      </w:r>
    </w:p>
    <w:p>
      <w:r>
        <w:rPr>
          <w:color w:val="555555"/>
          <w:sz w:val="17"/>
        </w:rPr>
        <w:t xml:space="preserve">Zitiervorschlag: § 61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