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BetrVG — Zuständigkeit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Konzernbetriebsrat ist zuständig für die Behandlung von Angelegenheiten, die den Konzern oder mehrere Konzernunternehmen betreffen und nicht durch die einzelnen Gesamtbetriebsräte innerhalb ihrer Unternehmen geregelt werden können; seine Zuständigkeit erstreckt sich insoweit auch auf Unternehmen, die einen Gesamtbetriebsrat nicht gebildet haben, sowie auf Betriebe der Konzernunternehmen ohne Betriebsrat. Er ist den einzelnen Gesamtbetriebsräten nicht übergeordnet.</w:t>
      </w:r>
    </w:p>
    <w:p>
      <w:r>
        <w:t xml:space="preserve">(2) Der Gesamtbetriebsrat kann mit der Mehrheit der Stimmen seiner Mitglieder den Konzernbetriebsrat beauftragen, eine Angelegenheit für ihn zu behandeln. Der Gesamtbetriebsrat kann sich dabei die Entscheidungsbefugnis vorbehalten. § 27 Abs. 2 Satz 3 und 4 gilt entsprechend.</w:t>
      </w:r>
    </w:p>
    <w:p>
      <w:r>
        <w:rPr>
          <w:color w:val="555555"/>
          <w:sz w:val="17"/>
        </w:rPr>
        <w:t xml:space="preserve">Zitiervorschlag: § 58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