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BetrVG — Zusammensetzung des Konzernbetriebsrats, Stimmengewicht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Konzernbetriebsrat entsendet jeder Gesamtbetriebsrat zwei seiner Mitglieder. Die Geschlechter sollen angemessen berücksichtigt werden.</w:t>
      </w:r>
    </w:p>
    <w:p>
      <w:r>
        <w:t xml:space="preserve">(2) Der Gesamtbetriebsrat hat für jedes Mitglied des Konzernbetriebsrats mindestens ein Ersatzmitglied zu bestellen und die Reihenfolge des Nachrückens festzulegen.</w:t>
      </w:r>
    </w:p>
    <w:p>
      <w:r>
        <w:t xml:space="preserve">(3) Jedem Mitglied des Konzernbetriebsrats stehen die Stimmen der Mitglieder des entsendenden Gesamtbetriebsrats je zur Hälfte zu.</w:t>
      </w:r>
    </w:p>
    <w:p>
      <w:r>
        <w:t xml:space="preserve">(4) Durch Tarifvertrag oder Betriebsvereinbarung kann die Mitgliederzahl des Konzernbetriebsrats abweichend von Absatz 1 Satz 1 geregelt werden. § 47 Abs. 5 bis 9 gilt entsprechend.</w:t>
      </w:r>
    </w:p>
    <w:p>
      <w:r>
        <w:rPr>
          <w:color w:val="555555"/>
          <w:sz w:val="17"/>
        </w:rPr>
        <w:t xml:space="preserve">Zitiervorschlag: § 55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https://recht.nulegal.eu/gesetze/BetrVG/55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