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BetrVG — Themen der Betriebs- und Abteilungsversammlungen</w:t>
      </w:r>
    </w:p>
    <w:p>
      <w:r>
        <w:rPr>
          <w:color w:val="555555"/>
          <w:sz w:val="18"/>
        </w:rPr>
        <w:t xml:space="preserve">Betriebsverfassungsgesetz</w:t>
      </w:r>
    </w:p>
    <w:p>
      <w:r>
        <w:rPr>
          <w:color w:val="555555"/>
          <w:sz w:val="18"/>
        </w:rPr>
        <w:t xml:space="preserve">Stand: 10.06.2019 (konsolidierte Textfassung, kein amtliches Inkrafttretensdatum)</w:t>
      </w:r>
    </w:p>
    <w:p>
      <w:r>
        <w:t xml:space="preserve">Die Betriebs- und Abteilungsversammlungen können Angelegenheiten einschließlich solcher tarifpolitischer, sozialpolitischer, umweltpolitischer und wirtschaftlicher Art sowie Fragen der Förderung der Gleichstellung von Frauen und Männern und der Vereinbarkeit von Familie und Erwerbstätigkeit sowie der Integration der im Betrieb beschäftigten ausländischen Arbeitnehmer behandeln, die den Betrieb oder seine Arbeitnehmer unmittelbar betreffen; die Grundsätze des § 74 Abs. 2 finden Anwendung. Die Betriebs- und Abteilungsversammlungen können dem Betriebsrat Anträge unterbreiten und zu seinen Beschlüssen Stellung nehmen.</w:t>
      </w:r>
    </w:p>
    <w:p>
      <w:r>
        <w:rPr>
          <w:color w:val="555555"/>
          <w:sz w:val="17"/>
        </w:rPr>
        <w:t xml:space="preserve">Zitiervorschlag: § 45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