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BetrVG — Kosten und Sachaufwand des Betriebsrats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 die Tätigkeit des Betriebsrats entstehenden Kosten trägt der Arbeitgeber.</w:t>
      </w:r>
    </w:p>
    <w:p>
      <w:r>
        <w:t xml:space="preserve">(2) Für die Sitzungen, die Sprechstunden und die laufende Geschäftsführung hat der Arbeitgeber in erforderlichem Umfang Räume, sachliche Mittel, Informations- und Kommunikationstechnik sowie Büropersonal zur Verfügung zu stellen.</w:t>
      </w:r>
    </w:p>
    <w:p>
      <w:r>
        <w:rPr>
          <w:color w:val="555555"/>
          <w:sz w:val="17"/>
        </w:rPr>
        <w:t xml:space="preserve">Zitiervorschlag: § 40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