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BetrVG — Beschlüsse des Betriebsrats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Die Beschlüsse des Betriebsrats werden, soweit in diesem Gesetz nichts anderes bestimmt ist, mit der Mehrheit der Stimmen der anwesenden Mitglieder gefasst. Betriebsratsmitglieder, die mittels Video- und Telefonkonferenz an der Beschlussfassung teilnehmen, gelten als anwesend. Bei Stimmengleichheit ist ein Antrag abgelehnt.</w:t>
      </w:r>
    </w:p>
    <w:p>
      <w:r>
        <w:t xml:space="preserve">(2) Der Betriebsrat ist nur beschlussfähig, wenn mindestens die Hälfte der Betriebsratsmitglieder an der Beschlussfassung teilnimmt; Stellvertretung durch Ersatzmitglieder ist zulässig.</w:t>
      </w:r>
    </w:p>
    <w:p>
      <w:r>
        <w:t xml:space="preserve">(3) Nimmt die Jugend- und Auszubildendenvertretung an der Beschlussfassung teil, so werden die Stimmen der Jugend- und Auszubildendenvertreter bei der Feststellung der Stimmenmehrheit mitgezählt.</w:t>
      </w:r>
    </w:p>
    <w:p>
      <w:r>
        <w:rPr>
          <w:color w:val="555555"/>
          <w:sz w:val="17"/>
        </w:rPr>
        <w:t xml:space="preserve">Zitiervorschlag: § 33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