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BetrVG — Erlöschen der Mitgliedschaft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Mitgliedschaft im Betriebsrat erlischt durch</w:t>
      </w:r>
    </w:p>
    <w:p>
      <w:pPr>
        <w:ind w:left="420"/>
      </w:pPr>
      <w:r>
        <w:t xml:space="preserve">1. Ablauf der Amtszeit,</w:t>
      </w:r>
    </w:p>
    <w:p>
      <w:pPr>
        <w:ind w:left="420"/>
      </w:pPr>
      <w:r>
        <w:t xml:space="preserve">2. Niederlegung des Betriebsratsamtes,</w:t>
      </w:r>
    </w:p>
    <w:p>
      <w:pPr>
        <w:ind w:left="420"/>
      </w:pPr>
      <w:r>
        <w:t xml:space="preserve">3. Beendigung des Arbeitsverhältnisses,</w:t>
      </w:r>
    </w:p>
    <w:p>
      <w:pPr>
        <w:ind w:left="420"/>
      </w:pPr>
      <w:r>
        <w:t xml:space="preserve">4. Verlust der Wählbarkeit,</w:t>
      </w:r>
    </w:p>
    <w:p>
      <w:pPr>
        <w:ind w:left="420"/>
      </w:pPr>
      <w:r>
        <w:t xml:space="preserve">5. Ausschluss aus dem Betriebsrat oder Auflösung des Betriebsrats aufgrund einer gerichtlichen Entscheidung,</w:t>
      </w:r>
    </w:p>
    <w:p>
      <w:pPr>
        <w:ind w:left="420"/>
      </w:pPr>
      <w:r>
        <w:t xml:space="preserve">6. gerichtliche Entscheidung über die Feststellung der Nichtwählbarkeit nach Ablauf der in § 19 Abs. 2 bezeichneten Frist, es sei denn, der Mangel liegt nicht mehr vor.</w:t>
      </w:r>
    </w:p>
    <w:p>
      <w:r>
        <w:rPr>
          <w:color w:val="555555"/>
          <w:sz w:val="17"/>
        </w:rPr>
        <w:t xml:space="preserve">Zitiervorschlag: § 24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