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17a BetrVG — Bestellung des Wahlvorstands im vereinfachten Wahlverfahren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 des § 14a finden die §§ 16 und 17 mit folgender Maßgabe Anwendung:</w:t>
      </w:r>
    </w:p>
    <w:p>
      <w:pPr>
        <w:ind w:left="420"/>
      </w:pPr>
      <w:r>
        <w:t xml:space="preserve">1. Die Frist des § 16 Abs. 1 Satz 1 wird auf vier Wochen und die des § 16 Abs. 2 Satz 1, Abs. 3 Satz 1 auf drei Wochen verkürzt.</w:t>
      </w:r>
    </w:p>
    <w:p>
      <w:pPr>
        <w:ind w:left="420"/>
      </w:pPr>
      <w:r>
        <w:t xml:space="preserve">2. § 16 Abs. 1 Satz 2 und 3 findet keine Anwendung.</w:t>
      </w:r>
    </w:p>
    <w:p>
      <w:pPr>
        <w:ind w:left="420"/>
      </w:pPr>
      <w:r>
        <w:t xml:space="preserve">3. In den Fällen des § 17 Abs. 2 wird der Wahlvorstand in einer Wahlversammlung von der Mehrheit der anwesenden Arbeitnehmer gewählt. Für die Einladung zu der Wahlversammlung gilt § 17 Abs. 3 entsprechend.</w:t>
      </w:r>
    </w:p>
    <w:p>
      <w:pPr>
        <w:ind w:left="420"/>
      </w:pPr>
      <w:r>
        <w:t xml:space="preserve">4. § 17 Abs. 4 gilt entsprechend, wenn trotz Einladung keine Wahlversammlung stattfindet oder auf der Wahlversammlung kein Wahlvorstand gewählt wird.</w:t>
      </w:r>
    </w:p>
    <w:p>
      <w:r>
        <w:rPr>
          <w:color w:val="555555"/>
          <w:sz w:val="17"/>
        </w:rPr>
        <w:t xml:space="preserve">Zitiervorschlag: § 17a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https://recht.nulegal.eu/gesetze/BetrVG/17a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