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BetrVG — Bestellung des Wahlvorstands in Betrieben ohne Betriebsrat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Besteht in einem Betrieb, der die Voraussetzungen des § 1 Abs. 1 Satz 1 erfüllt, kein Betriebsrat, so bestellt der Gesamtbetriebsrat oder, falls ein solcher nicht besteht, der Konzernbetriebsrat einen Wahlvorstand. § 16 Abs. 1 gilt entsprechend.</w:t>
      </w:r>
    </w:p>
    <w:p>
      <w:r>
        <w:t xml:space="preserve">(2) Besteht weder ein Gesamtbetriebsrat noch ein Konzernbetriebsrat, so wird in einer Betriebsversammlung von der Mehrheit der anwesenden Arbeitnehmer ein Wahlvorstand gewählt; § 16 Abs. 1 gilt entsprechend. Gleiches gilt, wenn der Gesamtbetriebsrat oder Konzernbetriebsrat die Bestellung des Wahlvorstands nach Absatz 1 unterlässt.</w:t>
      </w:r>
    </w:p>
    <w:p>
      <w:r>
        <w:t xml:space="preserve">(3) Zu dieser Betriebsversammlung können drei wahlberechtigte Arbeitnehmer des Betriebs oder eine im Betrieb vertretene Gewerkschaft einladen und Vorschläge für die Zusammensetzung des Wahlvorstands machen.</w:t>
      </w:r>
    </w:p>
    <w:p>
      <w:r>
        <w:t xml:space="preserve">(4) Findet trotz Einladung keine Betriebsversammlung statt oder wählt die Betriebsversammlung keinen Wahlvorstand, so bestellt ihn das Arbeitsgericht auf Antrag von mindestens drei wahlberechtigten Arbeitnehmern oder einer im Betrieb vertretenen Gewerkschaft. § 16 Abs. 2 gilt entsprechend.</w:t>
      </w:r>
    </w:p>
    <w:p>
      <w:r>
        <w:rPr>
          <w:color w:val="555555"/>
          <w:sz w:val="17"/>
        </w:rPr>
        <w:t xml:space="preserve">Zitiervorschlag: § 17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