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BetrVG — Zusammensetzung nach Beschäftigungsarten und Geschlechter *)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Betriebsrat soll sich möglichst aus Arbeitnehmern der einzelnen Organisationsbereiche und der verschiedenen Beschäftigungsarten der im Betrieb tätigen Arbeitnehmer zusammensetzen.</w:t>
      </w:r>
    </w:p>
    <w:p>
      <w:r>
        <w:t xml:space="preserve">(2) Das Geschlecht, das in der Belegschaft in der Minderheit ist, muss mindestens entsprechend seinem zahlenmäßigen Verhältnis im Betriebsrat vertreten sein, wenn dieser aus mindestens drei Mitgliedern besteht. -----</w:t>
      </w:r>
    </w:p>
    <w:p>
      <w:pPr>
        <w:ind w:left="420"/>
      </w:pPr>
      <w:r>
        <w:t xml:space="preserve">*) Gemäß Artikel 14 Satz 2 des Gesetzes zur Reform des Betriebsverfassungsgesetzes (BetrVerf-Reformgesetz) vom 23. Juli 2001 (BGBl. I S. 1852) gilt § 15 (Artikel 1 Nr. 13 des BetrVerf-Reformgesetzes) für im Zeitraum des Inkrafftretens bestehende Betriebsräte erst bei deren Neuwahl.</w:t>
      </w:r>
    </w:p>
    <w:p>
      <w:r>
        <w:rPr>
          <w:color w:val="555555"/>
          <w:sz w:val="17"/>
        </w:rPr>
        <w:t xml:space="preserve">Zitiervorschlag: § 15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