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BetrVG — Vereinfachtes Wahlverfahren für Kleinbetriebe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18.06.2021 (konsolidierte Textfassung, kein amtliches Inkrafttretensdatum)</w:t>
      </w:r>
    </w:p>
    <w:p>
      <w:r>
        <w:t xml:space="preserve">(1) In Betrieben mit in der Regel fünf bis 100 wahlberechtigten Arbeitnehmern wird der Betriebsrat in einem zweistufigen Verfahren gewählt. Auf einer ersten Wahlversammlung wird der Wahlvorstand nach § 17a Nr. 3 gewählt. Auf einer zweiten Wahlversammlung wird der Betriebsrat in geheimer und unmittelbarer Wahl gewählt. Diese Wahlversammlung findet eine Woche nach der Wahlversammlung zur Wahl des Wahlvorstands statt.</w:t>
      </w:r>
    </w:p>
    <w:p>
      <w:r>
        <w:t xml:space="preserve">(2) Wahlvorschläge können bis zum Ende der Wahlversammlung zur Wahl des Wahlvorstands nach § 17a Nr. 3 gemacht werden; für Wahlvorschläge der Arbeitnehmer gilt § 14 Abs. 4 mit der Maßgabe, dass für Wahlvorschläge, die erst auf dieser Wahlversammlung gemacht werden, keine Schriftform erforderlich ist.</w:t>
      </w:r>
    </w:p>
    <w:p>
      <w:r>
        <w:t xml:space="preserve">(3) Ist der Wahlvorstand in Betrieben mit in der Regel fünf bis 100 wahlberechtigten Arbeitnehmern nach § 17a Nr. 1 in Verbindung mit § 16 vom Betriebsrat, Gesamtbetriebsrat oder Konzernbetriebsrat oder nach § 17a Nr. 4 vom Arbeitsgericht bestellt, wird der Betriebsrat abweichend von Absatz 1 Satz 1 und 2 auf nur einer Wahlversammlung in geheimer und unmittelbarer Wahl gewählt. Wahlvorschläge können bis eine Woche vor der Wahlversammlung zur Wahl des Betriebsrats gemacht werden; § 14 Abs. 4 gilt unverändert.</w:t>
      </w:r>
    </w:p>
    <w:p>
      <w:r>
        <w:t xml:space="preserve">(4) Wahlberechtigten Arbeitnehmern, die an der Wahlversammlung zur Wahl des Betriebsrats nicht teilnehmen können, ist Gelegenheit zur schriftlichen Stimmabgabe zu geben.</w:t>
      </w:r>
    </w:p>
    <w:p>
      <w:r>
        <w:t xml:space="preserve">(5) In Betrieben mit in der Regel 101 bis 200 wahlberechtigten Arbeitnehmern können der Wahlvorstand und der Arbeitgeber die Anwendung des vereinfachten Wahlverfahrens vereinbaren.</w:t>
      </w:r>
    </w:p>
    <w:p>
      <w:r>
        <w:rPr>
          <w:color w:val="555555"/>
          <w:sz w:val="17"/>
        </w:rPr>
        <w:t xml:space="preserve">Zitiervorschlag: § 14a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