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124 BetrVG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(Änderung des Arbeitsgerichtsgesetzes) (gegenstandslos)</w:t>
      </w:r>
    </w:p>
    <w:p>
      <w:r>
        <w:rPr>
          <w:color w:val="555555"/>
          <w:sz w:val="17"/>
        </w:rPr>
        <w:t xml:space="preserve">Zitiervorschlag: § 124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https://recht.nulegal.eu/gesetze/BetrVG/124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