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BetrVG — Unterrichtung der Arbeitnehmer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Unternehmen mit in der Regel mehr als 1.000 ständig beschäftigten Arbeitnehmern hat der Unternehmer mindestens einmal in jedem Kalendervierteljahr nach vorheriger Abstimmung mit dem Wirtschaftsausschuss oder den in § 107 Abs. 3 genannten Stellen und dem Betriebsrat die Arbeitnehmer schriftlich über die wirtschaftliche Lage und Entwicklung des Unternehmens zu unterrichten.</w:t>
      </w:r>
    </w:p>
    <w:p>
      <w:r>
        <w:t xml:space="preserve">(2) In Unternehmen, die die Voraussetzungen des Absatzes 1 nicht erfüllen, aber in der Regel mehr als zwanzig wahlberechtigte ständige Arbeitnehmer beschäftigen, gilt Absatz 1 mit der Maßgabe, dass die Unterrichtung der Arbeitnehmer mündlich erfolgen kann. Ist in diesen Unternehmen ein Wirtschaftsausschuss nicht zu errichten, so erfolgt die Unterrichtung nach vorheriger Abstimmung mit dem Betriebsrat.</w:t>
      </w:r>
    </w:p>
    <w:p>
      <w:r>
        <w:rPr>
          <w:color w:val="555555"/>
          <w:sz w:val="17"/>
        </w:rPr>
        <w:t xml:space="preserve">Zitiervorschlag: § 110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