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109a BetrVG — Unternehmensübernahme</w:t>
      </w:r>
    </w:p>
    <w:p>
      <w:r>
        <w:rPr>
          <w:color w:val="555555"/>
          <w:sz w:val="18"/>
        </w:rPr>
        <w:t xml:space="preserve">Betriebsverfassungsgesetz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In Unternehmen, in denen kein Wirtschaftsausschuss besteht, ist im Fall des § 106 Abs. 3 Nr. 9a der Betriebsrat entsprechend § 106 Abs. 1 und 2 zu beteiligen; § 109 gilt entsprechend.</w:t>
      </w:r>
    </w:p>
    <w:p>
      <w:r>
        <w:rPr>
          <w:color w:val="555555"/>
          <w:sz w:val="17"/>
        </w:rPr>
        <w:t xml:space="preserve">Zitiervorschlag: § 109a BetrVG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https://recht.nulegal.eu/gesetze/BetrVG/109a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