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108 BetrVG — Sitzungen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Wirtschaftsausschuss soll monatlich einmal zusammentreten.</w:t>
      </w:r>
    </w:p>
    <w:p>
      <w:r>
        <w:t xml:space="preserve">(2) An den Sitzungen des Wirtschaftsausschusses hat der Unternehmer oder sein Vertreter teilzunehmen. Er kann sachkundige Arbeitnehmer des Unternehmens einschließlich der in § 5 Abs. 3 genannten Angestellten hinzuziehen. Für die Hinzuziehung und die Verschwiegenheitspflicht von Sachverständigen gilt § 80 Abs. 3 und 4 entsprechend.</w:t>
      </w:r>
    </w:p>
    <w:p>
      <w:r>
        <w:t xml:space="preserve">(3) Die Mitglieder des Wirtschaftsausschusses sind berechtigt, in die nach § 106 Abs. 2 vorzulegenden Unterlagen Einsicht zu nehmen.</w:t>
      </w:r>
    </w:p>
    <w:p>
      <w:r>
        <w:t xml:space="preserve">(4) Der Wirtschaftsausschuss hat über jede Sitzung dem Betriebsrat unverzüglich und vollständig zu berichten.</w:t>
      </w:r>
    </w:p>
    <w:p>
      <w:r>
        <w:t xml:space="preserve">(5) Der Jahresabschluss ist dem Wirtschaftsausschuss unter Beteiligung des Betriebsrats zu erläutern.</w:t>
      </w:r>
    </w:p>
    <w:p>
      <w:r>
        <w:t xml:space="preserve">(6) Hat der Betriebsrat oder der Gesamtbetriebsrat eine anderweitige Wahrnehmung der Aufgaben des Wirtschaftsausschusses beschlossen, so gelten die Absätze 1 bis 5 entsprechend.</w:t>
      </w:r>
    </w:p>
    <w:p>
      <w:r>
        <w:rPr>
          <w:color w:val="555555"/>
          <w:sz w:val="17"/>
        </w:rPr>
        <w:t xml:space="preserve">Zitiervorschlag: § 108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https://recht.nulegal.eu/gesetze/BetrVG/108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