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BetrPrämDurchfV — Übergangsregelung</w:t>
      </w:r>
    </w:p>
    <w:p>
      <w:r>
        <w:rPr>
          <w:color w:val="555555"/>
          <w:sz w:val="18"/>
        </w:rPr>
        <w:t xml:space="preserve">Betriebsprämiendurchführungsverordnung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 der Verordnung vom 7. Mai 2010 aufgehobenen, ersetzten oder geänderten Vorschriften dieser Verordnung sind</w:t>
      </w:r>
    </w:p>
    <w:p>
      <w:pPr>
        <w:ind w:left="420"/>
      </w:pPr>
      <w:r>
        <w:t xml:space="preserve">1. auf Anträge, die vor dem 11. Mai 2010 gestellt werden mussten, und deren Abwicklung sowie</w:t>
      </w:r>
    </w:p>
    <w:p>
      <w:pPr>
        <w:ind w:left="420"/>
      </w:pPr>
      <w:r>
        <w:t xml:space="preserve">2. auf vor dem 11. Mai 2010 eingetretene Sachverhalte</w:t>
      </w:r>
    </w:p>
    <w:p>
      <w:r>
        <w:t xml:space="preserve">in der am 10. Mai 2010 geltenden Fassung weiter anzuwenden.</w:t>
      </w:r>
    </w:p>
    <w:p>
      <w:r>
        <w:rPr>
          <w:color w:val="555555"/>
          <w:sz w:val="17"/>
        </w:rPr>
        <w:t xml:space="preserve">Zitiervorschlag: § 21 BetrPrämDurchfV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https://recht.nulegal.eu/gesetze/BetrPr%C3%A4mDurchfV/21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