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BetrPrämDurchfV — Anwendungsbereich</w:t>
      </w:r>
    </w:p>
    <w:p>
      <w:r>
        <w:rPr>
          <w:color w:val="555555"/>
          <w:sz w:val="18"/>
        </w:rPr>
        <w:t xml:space="preserve">Betriebsprämiendurchführungsverordnung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Gemeinschaften oder der Europäischen Union über die Betriebsprämienregelung und des Betriebsprämiendurchführungsgesetzes.</w:t>
      </w:r>
    </w:p>
    <w:p>
      <w:r>
        <w:rPr>
          <w:color w:val="555555"/>
          <w:sz w:val="17"/>
        </w:rPr>
        <w:t xml:space="preserve">Zitiervorschlag: § 1 BetrPrämDurchfV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https://recht.nulegal.eu/gesetze/BetrPr%C3%A4mDurchfV/1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