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BetrPrämDurchfGZuckV — Inkrafttreten</w:t>
      </w:r>
    </w:p>
    <w:p>
      <w:r>
        <w:rPr>
          <w:color w:val="555555"/>
          <w:sz w:val="18"/>
        </w:rPr>
        <w:t xml:space="preserve">Verordnung zur Aufteilung der Erhöhung der Obergrenze auf die Regionen sowie über Daten für die Festsetzung des betriebsindividuellen Zuckergrundbetrags und der zusätzlichen betriebsindividuellen Zuckerbeträge nach dem Betriebsprämiendurchführungsgesetz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BetrPrämDurchfGZuckV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https://recht.nulegal.eu/gesetze/BetrPr%C3%A4mDurchfGZuckV/4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BetrPrämDurchfGZuckV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