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 BetrPrämDurchfG — Regionale Anwendung der einheitlichen Betriebsprämie</w:t>
      </w:r>
    </w:p>
    <w:p>
      <w:r>
        <w:rPr>
          <w:color w:val="555555"/>
          <w:sz w:val="18"/>
        </w:rPr>
        <w:t xml:space="preserve">Betriebsprämiendurchführungsgesetz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einheitliche Betriebsprämie wird ab dem 1. Januar 2005 auf regionaler Ebene nach Maßgabe der nachfolgenden Vorschriften und der zu ihrer Durchführung erlassenen Vorschriften gewährt.</w:t>
      </w:r>
    </w:p>
    <w:p>
      <w:r>
        <w:t xml:space="preserve">(2) Für die Durchführung der Vorschriften über die einheitliche Betriebsprämie bildet jedes Land eine Region. Abweichend von Satz 1 bilden die Länder Brandenburg und Berlin, Niedersachsen und Bremen sowie Schleswig-Holstein und Hamburg jeweils eine Region.</w:t>
      </w:r>
    </w:p>
    <w:p>
      <w:r>
        <w:rPr>
          <w:color w:val="555555"/>
          <w:sz w:val="17"/>
        </w:rPr>
        <w:t xml:space="preserve">Zitiervorschlag: § 2 BetrPrämDurchfG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https://recht.nulegal.eu/gesetze/BetrPr%C3%A4mDurchfG/2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