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BetrPrämDurchfG — Anwendungsbereich</w:t>
      </w:r>
    </w:p>
    <w:p>
      <w:r>
        <w:rPr>
          <w:color w:val="555555"/>
          <w:sz w:val="18"/>
        </w:rPr>
        <w:t xml:space="preserve">Betriebsprämiendurchführungsgesetz</w:t>
      </w:r>
    </w:p>
    <w:p>
      <w:r>
        <w:rPr>
          <w:color w:val="555555"/>
          <w:sz w:val="18"/>
        </w:rPr>
        <w:t xml:space="preserve">Stand: 10.06.2019 (konsolidierte Textfassung, kein amtliches Inkrafttretensdatum)</w:t>
      </w:r>
    </w:p>
    <w:p>
      <w:r>
        <w:t xml:space="preserve">(1) Dieses Gesetz dient der Durchführung</w:t>
      </w:r>
    </w:p>
    <w:p>
      <w:pPr>
        <w:ind w:left="420"/>
      </w:pPr>
      <w:r>
        <w:t xml:space="preserve">1. der Vorschriften über die Einführung einer einheitlichen Betriebsprämienregelung nach Titel III der Verordnung (EG) Nr. 1782/2003 des Rates vom 29. September 2003 mit gemeinsamen Regeln für Direktzahlungen im Rahmen der Gemeinsamen Agrarpolitik und mit bestimmten Stützungsregelungen für Inhaber landwirtschaftlicher Betriebe und zur Änderung der Verordnungen (EWG) Nr. 2019/93, (EG) Nr. 1452/2001, (EG) Nr. 1453/2001, (EG) Nr. 1454/2001, (EG) Nr. 1868/94, (EG) Nr. 1251/1999, (EG) Nr. 1254/1999, (EG) Nr. 1673/2000, (EWG) Nr. 2358/71 und (EG) Nr. 2529/2001 (ABl. L 270 vom 21.10.2003, S. 1) in der jeweils geltenden Fassung,</w:t>
      </w:r>
    </w:p>
    <w:p>
      <w:pPr>
        <w:ind w:left="420"/>
      </w:pPr>
      <w:r>
        <w:t xml:space="preserve">2. der Vorschriften über die einheitliche Betriebsprämie nach Titel III der Verordnung (EG) Nr. 73/2009 des Rates vom 19. Januar 2009 mit gemeinsamen Regeln für Direktzahlungen im Rahmen der gemeinsamen Agrarpolitik und mit bestimmten Stützungsregelungen für Inhaber landwirtschaftlicher Betriebe und zur Änderung der Verordnungen (EG) Nr. 1290/2005, (EG) Nr. 247/2006, (EG) Nr. 378/2007 sowie zur Aufhebung der Verordnung (EG) Nr. 1782/2003 (ABl. L 30 vom 31.1.2009, S. 16) in der jeweils geltenden Fassung sowie</w:t>
      </w:r>
    </w:p>
    <w:p>
      <w:pPr>
        <w:ind w:left="420"/>
      </w:pPr>
      <w:r>
        <w:t xml:space="preserve">3. der im Rahmen der in Nummer 1 oder 2 bezeichneten Vorschriften und zu deren Durchführung erlassenen Rechtsakte der Europäischen Gemeinschaften oder der Europäischen Union.</w:t>
      </w:r>
    </w:p>
    <w:p>
      <w:r>
        <w:t xml:space="preserve">(2) Dieses Gesetz ist ein Gesetz im Sinne des § 1 Absatz 2 Nummer 4 des Marktorganisationsgesetzes.</w:t>
      </w:r>
    </w:p>
    <w:p>
      <w:r>
        <w:rPr>
          <w:color w:val="555555"/>
          <w:sz w:val="17"/>
        </w:rPr>
        <w:t xml:space="preserve">Zitiervorschlag: § 1 BetrPrämDurchfG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https://recht.nulegal.eu/gesetze/BetrPr%C3%A4mDurchfG/1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