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BetrInASG — Verfahren zur Geltendmachung von Ansprüchen nach § 4</w:t>
      </w:r>
    </w:p>
    <w:p>
      <w:r>
        <w:rPr>
          <w:color w:val="555555"/>
          <w:sz w:val="18"/>
        </w:rPr>
        <w:t xml:space="preserve">Betreuer-Inflationsausgleichs-Sonderzahlungsgesetz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Der Anspruch auf die Inflationsausgleichs-Sonderzahlung kann nur gemeinsam mit der Aufwandspauschale nach § 1878 Absatz 1 Satz 1 des Bürgerlichen Gesetzbuchs geltend gemacht werden.</w:t>
      </w:r>
    </w:p>
    <w:p>
      <w:r>
        <w:t xml:space="preserve">(2) Gilt ein Antrag nach § 1878 Absatz 4 Satz 3 des Bürgerlichen Gesetzbuchs als gestellt, umfasst dies auch die Beantragung der Inflationsausgleichs-Sonderzahlung.</w:t>
      </w:r>
    </w:p>
    <w:p>
      <w:r>
        <w:rPr>
          <w:color w:val="555555"/>
          <w:sz w:val="17"/>
        </w:rPr>
        <w:t xml:space="preserve">Zitiervorschlag: § 5 BetrInASG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https://recht.nulegal.eu/gesetze/BetrInASG/5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