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BetrInASG — Anspruch der ehrenamtlichen Betreuer</w:t>
      </w:r>
    </w:p>
    <w:p>
      <w:r>
        <w:rPr>
          <w:color w:val="555555"/>
          <w:sz w:val="18"/>
        </w:rPr>
        <w:t xml:space="preserve">Betreuer-Inflationsausgleichs-Sonderzahlungsgesetz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Ein ehrenamtlicher Betreuer im Sinne des § 19 Absatz 1 Satz 1 des Betreuungsorganisationsgesetzes, der zur Abgeltung seines Anspruchs auf Aufwendungsersatz die Aufwandspauschale nach § 1878 des Bürgerlichen Gesetzbuchs geltend macht, kann vom Betreuten zusätzlich die Zahlung einer Inflationsausgleichs-Sonderzahlung in Höhe von 24 Euro jährlich verlangen.</w:t>
      </w:r>
    </w:p>
    <w:p>
      <w:r>
        <w:t xml:space="preserve">(2) Die Inflationsausgleichs-Sonderzahlung ist jährlich zu leisten, erstmals ein Jahr nach Bestellung des Betreuers. Endet das Amt des Betreuers, ist die Inflationsausgleichs-Sonderzahlung anteilig nach den Monaten des bis zur Beendigung des Amtes laufenden Betreuungsjahres zu leisten; ein angefangener Monat gilt als voller Monat.</w:t>
      </w:r>
    </w:p>
    <w:p>
      <w:r>
        <w:t xml:space="preserve">(3) Der Anspruch nach Absatz 1 erlischt, wenn er nicht binnen sechs Monaten nach Ablauf des Jahres, in dem der Anspruch entstanden ist, gerichtlich geltend gemacht wird. § 1877 Absatz 4 Satz 2 und 3 des Bürgerlichen Gesetzbuchs gilt entsprechend.</w:t>
      </w:r>
    </w:p>
    <w:p>
      <w:r>
        <w:t xml:space="preserve">(4) Ist der Betreute mittellos im Sinne des § 1880 des Bürgerlichen Gesetzbuchs, so kann der ehrenamtliche Betreuer die Inflationsausgleichs-Sonderzahlung aus der Staatskasse verlangen. Soweit die Staatskasse den Betreuer befriedigt, gehen die Ansprüche des Betreuers nach Maßgabe des § 1881 des Bürgerlichen Gesetzbuchs auf die Staatskasse über.</w:t>
      </w:r>
    </w:p>
    <w:p>
      <w:r>
        <w:t xml:space="preserve">(5) Der Anspruch auf die Inflationsausgleichs-Sonderzahlung nach Absatz 1 besteht für die Zeit vom 1. Januar 2024 bis zum 31. Dezember 2025.</w:t>
      </w:r>
    </w:p>
    <w:p>
      <w:r>
        <w:rPr>
          <w:color w:val="555555"/>
          <w:sz w:val="17"/>
        </w:rPr>
        <w:t xml:space="preserve">Zitiervorschlag: § 4 BetrInASG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https://recht.nulegal.eu/gesetze/BetrInASG/4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