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BetrInASG — Verfahren zur Geltendmachung von Ansprüchen nach § 1</w:t>
      </w:r>
    </w:p>
    <w:p>
      <w:r>
        <w:rPr>
          <w:color w:val="555555"/>
          <w:sz w:val="18"/>
        </w:rPr>
        <w:t xml:space="preserve">Betreuer-Inflationsausgleichs-Sonderzahlungsgesetz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Inflationsausgleichs-Sonderzahlung nach § 1 kann nur gemeinsam mit einem Vergütungsantrag nach den §§ 8 und 9 des Vormünder- und Betreuervergütungsgesetzes geltend gemacht werden.</w:t>
      </w:r>
    </w:p>
    <w:p>
      <w:r>
        <w:t xml:space="preserve">(2) Bei Antragstellungen im Sinne des § 15 Absatz 2 Satz 1 des Vormünder- und Betreuervergütungsgesetzes gilt auch die Inflationsausgleichs-Sonderzahlung als geltend gemacht; § 15 Absatz 2 Satz 2 des Vormünder- und Betreuervergütungsgesetzes gilt entsprechend.</w:t>
      </w:r>
    </w:p>
    <w:p>
      <w:r>
        <w:t xml:space="preserve">(3) Das Betreuungsgericht bewilligt die Zahlung entsprechend den §§ 292 und 292a des Gesetzes über das Verfahren in Familiensachen und in den Angelegenheiten der freiwilligen Gerichtsbarkeit.</w:t>
      </w:r>
    </w:p>
    <w:p>
      <w:r>
        <w:t xml:space="preserve">(4) § 9 Absatz 4 Satz 1 des Vormünder- und Betreuervergütungsgesetzes und § 1877 Absatz 4 des Bürgerlichen Gesetzbuchs gelten entsprechend. Ein angefangener Monat gilt als voller Monat.</w:t>
      </w:r>
    </w:p>
    <w:p>
      <w:r>
        <w:t xml:space="preserve">(5) Die Landesregierungen werden ermächtigt, abweichende Regelungen zum Verfahren zu treffen.</w:t>
      </w:r>
    </w:p>
    <w:p>
      <w:r>
        <w:rPr>
          <w:color w:val="555555"/>
          <w:sz w:val="17"/>
        </w:rPr>
        <w:t xml:space="preserve">Zitiervorschlag: § 3 BetrInASG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https://recht.nulegal.eu/gesetze/BetrInASG/3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