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BetrInASG — Höhe und Anspruchszeitraum der Inflationsausgleichs-Sonderzahlung</w:t>
      </w:r>
    </w:p>
    <w:p>
      <w:r>
        <w:rPr>
          <w:color w:val="555555"/>
          <w:sz w:val="18"/>
        </w:rPr>
        <w:t xml:space="preserve">Betreuer-Inflationsausgleichs-Sonderzahlungsgesetz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Inflationsausgleichs-Sonderzahlung nach § 1 beträgt 7,50 Euro je geführter Betreuung und je angefangenem Monat.</w:t>
      </w:r>
    </w:p>
    <w:p>
      <w:r>
        <w:t xml:space="preserve">(2) Der Anspruch auf die Inflationsausgleichs-Sonderzahlung nach § 1 besteht für jeden in den Zeitraum vom 1. Januar 2024 bis zum 31. Dezember 2025 fallenden Monat, in dem die Betreuung an mindestens einem Tag geführt wird.</w:t>
      </w:r>
    </w:p>
    <w:p>
      <w:r>
        <w:rPr>
          <w:color w:val="555555"/>
          <w:sz w:val="17"/>
        </w:rPr>
        <w:t xml:space="preserve">Zitiervorschlag: § 2 BetrInASG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https://recht.nulegal.eu/gesetze/BetrInASG/2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