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BetrInASG — Ansprüche der beruflichen Betreuer und Betreuungsvereine</w:t>
      </w:r>
    </w:p>
    <w:p>
      <w:r>
        <w:rPr>
          <w:color w:val="555555"/>
          <w:sz w:val="18"/>
        </w:rPr>
        <w:t xml:space="preserve">Betreuer-Inflationsausgleichs-Sonderzahlungsgesetz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Ein beruflicher Betreuer nach § 19 Absatz 2 des Betreuungsorganisationsgesetzes, der selbständig rechtliche Betreuungen führt, kann vom Betreuten eine Inflationsausgleichs-Sonderzahlung verlangen.</w:t>
      </w:r>
    </w:p>
    <w:p>
      <w:r>
        <w:t xml:space="preserve">(2) Ist ein beruflicher Betreuer nach § 19 Absatz 2 des Betreuungsorganisationsgesetzes, der als Mitarbeiter eines anerkannten Betreuungsvereins rechtliche Betreuungen führt, als Vereinsbetreuer bestellt, kann der Betreuungsverein die Inflationsausgleichs-Sonderzahlung vom Betreuten verlangen.</w:t>
      </w:r>
    </w:p>
    <w:p>
      <w:r>
        <w:t xml:space="preserve">(3) Ist der Betreuungsverein nach § 1818 Absatz 1 des Bürgerlichen Gesetzbuchs als Betreuer bestellt, kann er eine Inflationsausgleichs-Sonderzahlung vom Betreuten verlangen, wenn der Mitarbeiter, dem die Führung der Betreuung gemäß § 1818 Absatz 2 Satz 1 des Bürgerlichen Gesetzbuchs übertragen worden ist, als beruflicher Betreuer registriert ist.</w:t>
      </w:r>
    </w:p>
    <w:p>
      <w:r>
        <w:t xml:space="preserve">(4) Ist der Betreute mittellos im Sinne des § 1880 des Bürgerlichen Gesetzbuchs, so kann der berufliche Betreuer oder der Betreuungsverein die Inflationsausgleichs-Sonderzahlung aus der Staatskasse verlangen. Soweit die Staatskasse den Betreuer oder den Betreuungsverein befriedigt, gehen die Ansprüche des Betreuers oder des Betreuungsvereins nach Maßgabe des § 1881 des Bürgerlichen Gesetzbuchs auf die Staatskasse über.</w:t>
      </w:r>
    </w:p>
    <w:p>
      <w:r>
        <w:t xml:space="preserve">(5) Die Absätze 1 bis 4 gelten nicht für die Sonderfälle der Betreuung nach § 12 des Vormünder- und Betreuervergütungsgesetzes.</w:t>
      </w:r>
    </w:p>
    <w:p>
      <w:r>
        <w:rPr>
          <w:color w:val="555555"/>
          <w:sz w:val="17"/>
        </w:rPr>
        <w:t xml:space="preserve">Zitiervorschlag: § 1 BetrInASG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https://recht.nulegal.eu/gesetze/BetrInASG/1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